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F57E9" w14:textId="77777777" w:rsidR="00462F7F" w:rsidRDefault="00770C01">
      <w:pPr>
        <w:rPr>
          <w:rFonts w:ascii="宋体" w:eastAsia="宋体" w:hAnsi="宋体" w:cs="宋体"/>
        </w:rPr>
      </w:pPr>
      <w:bookmarkStart w:id="0" w:name="_GoBack"/>
      <w:bookmarkEnd w:id="0"/>
      <w:r>
        <w:rPr>
          <w:rFonts w:ascii="宋体" w:eastAsia="宋体" w:hAnsi="宋体" w:cs="宋体" w:hint="eastAsia"/>
        </w:rPr>
        <w:t>【短信】【建行代销</w:t>
      </w:r>
      <w:r>
        <w:rPr>
          <w:rFonts w:ascii="宋体" w:eastAsia="宋体" w:hAnsi="宋体" w:cs="宋体" w:hint="eastAsia"/>
        </w:rPr>
        <w:t>华富上证综合指数增强型基金</w:t>
      </w:r>
      <w:r>
        <w:rPr>
          <w:rFonts w:ascii="宋体" w:eastAsia="宋体" w:hAnsi="宋体" w:cs="宋体" w:hint="eastAsia"/>
        </w:rPr>
        <w:t>】</w:t>
      </w:r>
    </w:p>
    <w:p w14:paraId="3C7644FA" w14:textId="77777777" w:rsidR="00462F7F" w:rsidRDefault="00462F7F">
      <w:pPr>
        <w:rPr>
          <w:rFonts w:ascii="宋体" w:eastAsia="宋体" w:hAnsi="宋体" w:cs="宋体"/>
        </w:rPr>
      </w:pPr>
    </w:p>
    <w:p w14:paraId="516CD4F8" w14:textId="4F5E5A27" w:rsidR="00462F7F" w:rsidRDefault="00770C01">
      <w:pPr>
        <w:rPr>
          <w:rFonts w:ascii="宋体" w:eastAsia="宋体" w:hAnsi="宋体" w:cs="宋体"/>
        </w:rPr>
      </w:pPr>
      <w:r>
        <w:rPr>
          <w:rFonts w:ascii="宋体" w:eastAsia="宋体" w:hAnsi="宋体" w:cs="宋体" w:hint="eastAsia"/>
        </w:rPr>
        <w:t>【建行代销华富上证综合指数增强型基金】华富上证综合指数增强型基金，</w:t>
      </w:r>
      <w:r>
        <w:rPr>
          <w:rFonts w:ascii="宋体" w:eastAsia="宋体" w:hAnsi="宋体" w:cs="宋体" w:hint="eastAsia"/>
        </w:rPr>
        <w:t>11</w:t>
      </w:r>
      <w:r>
        <w:rPr>
          <w:rFonts w:ascii="宋体" w:eastAsia="宋体" w:hAnsi="宋体" w:cs="宋体" w:hint="eastAsia"/>
        </w:rPr>
        <w:t>月</w:t>
      </w:r>
      <w:r>
        <w:rPr>
          <w:rFonts w:ascii="宋体" w:eastAsia="宋体" w:hAnsi="宋体" w:cs="宋体" w:hint="eastAsia"/>
        </w:rPr>
        <w:t>16</w:t>
      </w:r>
      <w:r>
        <w:rPr>
          <w:rFonts w:ascii="宋体" w:eastAsia="宋体" w:hAnsi="宋体" w:cs="宋体" w:hint="eastAsia"/>
        </w:rPr>
        <w:t>日起</w:t>
      </w:r>
      <w:r>
        <w:rPr>
          <w:rFonts w:ascii="宋体" w:eastAsia="宋体" w:hAnsi="宋体" w:cs="宋体" w:hint="eastAsia"/>
        </w:rPr>
        <w:t>建行代销。布局</w:t>
      </w:r>
      <w:r>
        <w:rPr>
          <w:rFonts w:ascii="宋体" w:eastAsia="宋体" w:hAnsi="宋体" w:cs="宋体" w:hint="eastAsia"/>
        </w:rPr>
        <w:t>A</w:t>
      </w:r>
      <w:r>
        <w:rPr>
          <w:rFonts w:ascii="宋体" w:eastAsia="宋体" w:hAnsi="宋体" w:cs="宋体" w:hint="eastAsia"/>
        </w:rPr>
        <w:t>股核心底仓！华富上证</w:t>
      </w:r>
      <w:r>
        <w:rPr>
          <w:rFonts w:ascii="宋体" w:eastAsia="宋体" w:hAnsi="宋体" w:cs="宋体" w:hint="eastAsia"/>
        </w:rPr>
        <w:t>综合指数</w:t>
      </w:r>
      <w:r>
        <w:rPr>
          <w:rFonts w:ascii="宋体" w:eastAsia="宋体" w:hAnsi="宋体" w:cs="宋体" w:hint="eastAsia"/>
        </w:rPr>
        <w:t>增强</w:t>
      </w:r>
      <w:r>
        <w:rPr>
          <w:rFonts w:ascii="宋体" w:eastAsia="宋体" w:hAnsi="宋体" w:cs="宋体" w:hint="eastAsia"/>
        </w:rPr>
        <w:t>（</w:t>
      </w:r>
      <w:r>
        <w:rPr>
          <w:rFonts w:ascii="宋体" w:eastAsia="宋体" w:hAnsi="宋体" w:cs="宋体" w:hint="eastAsia"/>
        </w:rPr>
        <w:t>A</w:t>
      </w:r>
      <w:r>
        <w:rPr>
          <w:rFonts w:ascii="宋体" w:eastAsia="宋体" w:hAnsi="宋体" w:cs="宋体" w:hint="eastAsia"/>
        </w:rPr>
        <w:t>类</w:t>
      </w:r>
      <w:r>
        <w:rPr>
          <w:rFonts w:ascii="宋体" w:eastAsia="宋体" w:hAnsi="宋体" w:cs="宋体" w:hint="eastAsia"/>
        </w:rPr>
        <w:t>029506/C</w:t>
      </w:r>
      <w:r>
        <w:rPr>
          <w:rFonts w:ascii="宋体" w:eastAsia="宋体" w:hAnsi="宋体" w:cs="宋体" w:hint="eastAsia"/>
        </w:rPr>
        <w:t>类</w:t>
      </w:r>
      <w:r>
        <w:rPr>
          <w:rFonts w:ascii="宋体" w:eastAsia="宋体" w:hAnsi="宋体" w:cs="宋体" w:hint="eastAsia"/>
        </w:rPr>
        <w:t>029507</w:t>
      </w:r>
      <w:r>
        <w:rPr>
          <w:rFonts w:ascii="宋体" w:eastAsia="宋体" w:hAnsi="宋体" w:cs="宋体" w:hint="eastAsia"/>
        </w:rPr>
        <w:t>，</w:t>
      </w:r>
      <w:r>
        <w:rPr>
          <w:rFonts w:ascii="宋体" w:eastAsia="宋体" w:hAnsi="宋体" w:cs="宋体" w:hint="eastAsia"/>
        </w:rPr>
        <w:t>R4-</w:t>
      </w:r>
      <w:r>
        <w:rPr>
          <w:rFonts w:ascii="宋体" w:eastAsia="宋体" w:hAnsi="宋体" w:cs="宋体" w:hint="eastAsia"/>
        </w:rPr>
        <w:t>中高风险）</w:t>
      </w:r>
      <w:r>
        <w:rPr>
          <w:rFonts w:ascii="宋体" w:eastAsia="宋体" w:hAnsi="宋体" w:cs="宋体" w:hint="eastAsia"/>
        </w:rPr>
        <w:t>火热发售。上证指数聚焦沪市核心资产，自带价值成长双属性。前置股票筛选、量化分域多模型选股、坚持行业及风格中性，力争超越基准。特别提示您：基金有风险，投资需谨慎，本产品由华富基金管理有限公司发行管理、承担投资和兑付责任。</w:t>
      </w:r>
    </w:p>
    <w:p w14:paraId="62D5D4C4" w14:textId="77777777" w:rsidR="00462F7F" w:rsidRDefault="00462F7F">
      <w:pPr>
        <w:rPr>
          <w:rFonts w:ascii="宋体" w:eastAsia="宋体" w:hAnsi="宋体" w:cs="宋体"/>
        </w:rPr>
      </w:pPr>
    </w:p>
    <w:p w14:paraId="5B9B1C4F" w14:textId="77777777" w:rsidR="00462F7F" w:rsidRDefault="00770C01">
      <w:pPr>
        <w:rPr>
          <w:rFonts w:ascii="宋体" w:eastAsia="宋体" w:hAnsi="宋体" w:cs="宋体"/>
        </w:rPr>
      </w:pPr>
      <w:r>
        <w:rPr>
          <w:rFonts w:ascii="宋体" w:eastAsia="宋体" w:hAnsi="宋体" w:cs="宋体" w:hint="eastAsia"/>
        </w:rPr>
        <w:t>【广告】【建行代销</w:t>
      </w:r>
      <w:r>
        <w:rPr>
          <w:rFonts w:ascii="宋体" w:eastAsia="宋体" w:hAnsi="宋体" w:cs="宋体" w:hint="eastAsia"/>
        </w:rPr>
        <w:t>华富上证综合指数增强型基金</w:t>
      </w:r>
      <w:r>
        <w:rPr>
          <w:rFonts w:ascii="宋体" w:eastAsia="宋体" w:hAnsi="宋体" w:cs="宋体" w:hint="eastAsia"/>
        </w:rPr>
        <w:t>】</w:t>
      </w:r>
    </w:p>
    <w:p w14:paraId="709D9BA8" w14:textId="77777777" w:rsidR="00462F7F" w:rsidRDefault="00462F7F">
      <w:pPr>
        <w:rPr>
          <w:rFonts w:ascii="宋体" w:eastAsia="宋体" w:hAnsi="宋体" w:cs="宋体"/>
        </w:rPr>
      </w:pPr>
    </w:p>
    <w:p w14:paraId="3FBE8B7E" w14:textId="77777777" w:rsidR="00462F7F" w:rsidRDefault="00770C01">
      <w:pPr>
        <w:rPr>
          <w:rFonts w:ascii="宋体" w:eastAsia="宋体" w:hAnsi="宋体" w:cs="宋体"/>
        </w:rPr>
      </w:pPr>
      <w:r>
        <w:rPr>
          <w:rFonts w:ascii="宋体" w:eastAsia="宋体" w:hAnsi="宋体" w:cs="宋体" w:hint="eastAsia"/>
        </w:rPr>
        <w:t>洞悉沪</w:t>
      </w:r>
      <w:r>
        <w:rPr>
          <w:rFonts w:ascii="宋体" w:eastAsia="宋体" w:hAnsi="宋体" w:cs="宋体" w:hint="eastAsia"/>
        </w:rPr>
        <w:t>市全景</w:t>
      </w:r>
    </w:p>
    <w:p w14:paraId="65FA090F" w14:textId="77777777" w:rsidR="00462F7F" w:rsidRDefault="00770C01">
      <w:pPr>
        <w:rPr>
          <w:rFonts w:ascii="宋体" w:eastAsia="宋体" w:hAnsi="宋体" w:cs="宋体"/>
        </w:rPr>
      </w:pPr>
      <w:r>
        <w:rPr>
          <w:rFonts w:ascii="宋体" w:eastAsia="宋体" w:hAnsi="宋体" w:cs="宋体" w:hint="eastAsia"/>
        </w:rPr>
        <w:t>经典宽基工具</w:t>
      </w:r>
    </w:p>
    <w:p w14:paraId="2DED2BD4" w14:textId="77777777" w:rsidR="00462F7F" w:rsidRDefault="00462F7F">
      <w:pPr>
        <w:rPr>
          <w:rFonts w:ascii="宋体" w:eastAsia="宋体" w:hAnsi="宋体" w:cs="宋体"/>
        </w:rPr>
      </w:pPr>
    </w:p>
    <w:p w14:paraId="4C18F69B" w14:textId="77777777" w:rsidR="00462F7F" w:rsidRDefault="00770C01">
      <w:pPr>
        <w:rPr>
          <w:rFonts w:ascii="宋体" w:eastAsia="宋体" w:hAnsi="宋体" w:cs="宋体"/>
        </w:rPr>
      </w:pPr>
      <w:r>
        <w:rPr>
          <w:rFonts w:ascii="宋体" w:eastAsia="宋体" w:hAnsi="宋体" w:cs="宋体" w:hint="eastAsia"/>
        </w:rPr>
        <w:t>华富上证综合指数增强型基金</w:t>
      </w:r>
    </w:p>
    <w:p w14:paraId="5EBAE8AA" w14:textId="77777777" w:rsidR="00462F7F" w:rsidRDefault="00770C01">
      <w:pPr>
        <w:rPr>
          <w:rFonts w:ascii="宋体" w:eastAsia="宋体" w:hAnsi="宋体" w:cs="宋体"/>
        </w:rPr>
      </w:pPr>
      <w:r>
        <w:rPr>
          <w:rFonts w:ascii="宋体" w:eastAsia="宋体" w:hAnsi="宋体" w:cs="宋体" w:hint="eastAsia"/>
        </w:rPr>
        <w:t>A</w:t>
      </w:r>
      <w:r>
        <w:rPr>
          <w:rFonts w:ascii="宋体" w:eastAsia="宋体" w:hAnsi="宋体" w:cs="宋体" w:hint="eastAsia"/>
        </w:rPr>
        <w:t>类</w:t>
      </w:r>
      <w:r>
        <w:rPr>
          <w:rFonts w:ascii="宋体" w:eastAsia="宋体" w:hAnsi="宋体" w:cs="宋体" w:hint="eastAsia"/>
        </w:rPr>
        <w:t>029506  C</w:t>
      </w:r>
      <w:r>
        <w:rPr>
          <w:rFonts w:ascii="宋体" w:eastAsia="宋体" w:hAnsi="宋体" w:cs="宋体" w:hint="eastAsia"/>
        </w:rPr>
        <w:t>类</w:t>
      </w:r>
      <w:r>
        <w:rPr>
          <w:rFonts w:ascii="宋体" w:eastAsia="宋体" w:hAnsi="宋体" w:cs="宋体" w:hint="eastAsia"/>
        </w:rPr>
        <w:t xml:space="preserve">029507  </w:t>
      </w:r>
    </w:p>
    <w:p w14:paraId="0962BCEB" w14:textId="77777777" w:rsidR="00462F7F" w:rsidRDefault="00770C01">
      <w:pPr>
        <w:rPr>
          <w:rFonts w:ascii="宋体" w:eastAsia="宋体" w:hAnsi="宋体" w:cs="宋体"/>
        </w:rPr>
      </w:pPr>
      <w:r>
        <w:rPr>
          <w:rFonts w:ascii="宋体" w:eastAsia="宋体" w:hAnsi="宋体" w:cs="宋体" w:hint="eastAsia"/>
        </w:rPr>
        <w:t>11</w:t>
      </w:r>
      <w:r>
        <w:rPr>
          <w:rFonts w:ascii="宋体" w:eastAsia="宋体" w:hAnsi="宋体" w:cs="宋体" w:hint="eastAsia"/>
        </w:rPr>
        <w:t>月</w:t>
      </w:r>
      <w:r>
        <w:rPr>
          <w:rFonts w:ascii="宋体" w:eastAsia="宋体" w:hAnsi="宋体" w:cs="宋体" w:hint="eastAsia"/>
        </w:rPr>
        <w:t>16</w:t>
      </w:r>
      <w:r>
        <w:rPr>
          <w:rFonts w:ascii="宋体" w:eastAsia="宋体" w:hAnsi="宋体" w:cs="宋体" w:hint="eastAsia"/>
        </w:rPr>
        <w:t>日</w:t>
      </w:r>
      <w:r>
        <w:rPr>
          <w:rFonts w:ascii="宋体" w:eastAsia="宋体" w:hAnsi="宋体" w:cs="宋体" w:hint="eastAsia"/>
        </w:rPr>
        <w:t>-12</w:t>
      </w:r>
      <w:r>
        <w:rPr>
          <w:rFonts w:ascii="宋体" w:eastAsia="宋体" w:hAnsi="宋体" w:cs="宋体" w:hint="eastAsia"/>
        </w:rPr>
        <w:t>月</w:t>
      </w:r>
      <w:r>
        <w:rPr>
          <w:rFonts w:ascii="宋体" w:eastAsia="宋体" w:hAnsi="宋体" w:cs="宋体" w:hint="eastAsia"/>
        </w:rPr>
        <w:t>4</w:t>
      </w:r>
      <w:r>
        <w:rPr>
          <w:rFonts w:ascii="宋体" w:eastAsia="宋体" w:hAnsi="宋体" w:cs="宋体" w:hint="eastAsia"/>
        </w:rPr>
        <w:t>日火热发行</w:t>
      </w:r>
    </w:p>
    <w:p w14:paraId="1423DE76" w14:textId="77777777" w:rsidR="00462F7F" w:rsidRDefault="00770C01">
      <w:pPr>
        <w:rPr>
          <w:rFonts w:ascii="宋体" w:eastAsia="宋体" w:hAnsi="宋体" w:cs="宋体"/>
        </w:rPr>
      </w:pPr>
      <w:r>
        <w:rPr>
          <w:rFonts w:ascii="宋体" w:eastAsia="宋体" w:hAnsi="宋体" w:cs="宋体" w:hint="eastAsia"/>
        </w:rPr>
        <w:t>建设银行代销</w:t>
      </w:r>
    </w:p>
    <w:p w14:paraId="6DCD7EE1" w14:textId="77777777" w:rsidR="00462F7F" w:rsidRDefault="00770C01">
      <w:pPr>
        <w:rPr>
          <w:rFonts w:ascii="宋体" w:eastAsia="宋体" w:hAnsi="宋体" w:cs="宋体"/>
        </w:rPr>
      </w:pPr>
      <w:r>
        <w:rPr>
          <w:rFonts w:ascii="宋体" w:eastAsia="宋体" w:hAnsi="宋体" w:cs="宋体" w:hint="eastAsia"/>
        </w:rPr>
        <w:t>风险等级：</w:t>
      </w:r>
      <w:r>
        <w:rPr>
          <w:rFonts w:ascii="宋体" w:eastAsia="宋体" w:hAnsi="宋体" w:cs="宋体" w:hint="eastAsia"/>
        </w:rPr>
        <w:t>R4-</w:t>
      </w:r>
      <w:r>
        <w:rPr>
          <w:rFonts w:ascii="宋体" w:eastAsia="宋体" w:hAnsi="宋体" w:cs="宋体" w:hint="eastAsia"/>
        </w:rPr>
        <w:t>中高风险</w:t>
      </w:r>
    </w:p>
    <w:p w14:paraId="6E97199C" w14:textId="77777777" w:rsidR="00462F7F" w:rsidRDefault="00462F7F">
      <w:pPr>
        <w:rPr>
          <w:rFonts w:ascii="宋体" w:eastAsia="宋体" w:hAnsi="宋体" w:cs="宋体"/>
        </w:rPr>
      </w:pPr>
    </w:p>
    <w:p w14:paraId="5494A7C6" w14:textId="77777777" w:rsidR="00462F7F" w:rsidRDefault="00770C01">
      <w:pPr>
        <w:rPr>
          <w:rFonts w:ascii="宋体" w:eastAsia="宋体" w:hAnsi="宋体" w:cs="宋体"/>
        </w:rPr>
      </w:pPr>
      <w:r>
        <w:rPr>
          <w:rFonts w:ascii="宋体" w:eastAsia="宋体" w:hAnsi="宋体" w:cs="宋体" w:hint="eastAsia"/>
        </w:rPr>
        <w:t>沪市核心宽基</w:t>
      </w:r>
      <w:r>
        <w:rPr>
          <w:rFonts w:ascii="宋体" w:eastAsia="宋体" w:hAnsi="宋体" w:cs="宋体" w:hint="eastAsia"/>
        </w:rPr>
        <w:br/>
      </w:r>
      <w:r>
        <w:rPr>
          <w:rFonts w:ascii="宋体" w:eastAsia="宋体" w:hAnsi="宋体" w:cs="宋体" w:hint="eastAsia"/>
        </w:rPr>
        <w:t>红利科技兼顾</w:t>
      </w:r>
      <w:r>
        <w:rPr>
          <w:rFonts w:ascii="宋体" w:eastAsia="宋体" w:hAnsi="宋体" w:cs="宋体" w:hint="eastAsia"/>
        </w:rPr>
        <w:br/>
      </w:r>
      <w:r>
        <w:rPr>
          <w:rFonts w:ascii="宋体" w:eastAsia="宋体" w:hAnsi="宋体" w:cs="宋体" w:hint="eastAsia"/>
        </w:rPr>
        <w:t>量化赋能指数</w:t>
      </w:r>
    </w:p>
    <w:p w14:paraId="0A26D7C6" w14:textId="77777777" w:rsidR="00462F7F" w:rsidRDefault="00462F7F">
      <w:pPr>
        <w:rPr>
          <w:rFonts w:ascii="宋体" w:eastAsia="宋体" w:hAnsi="宋体" w:cs="宋体"/>
        </w:rPr>
      </w:pPr>
    </w:p>
    <w:p w14:paraId="054B8AE1" w14:textId="77777777" w:rsidR="00462F7F" w:rsidRDefault="00770C01">
      <w:pPr>
        <w:rPr>
          <w:rFonts w:ascii="宋体" w:eastAsia="宋体" w:hAnsi="宋体" w:cs="宋体"/>
        </w:rPr>
      </w:pPr>
      <w:r>
        <w:rPr>
          <w:rFonts w:ascii="宋体" w:eastAsia="宋体" w:hAnsi="宋体" w:cs="宋体" w:hint="eastAsia"/>
        </w:rPr>
        <w:t>布局</w:t>
      </w:r>
      <w:r>
        <w:rPr>
          <w:rFonts w:ascii="宋体" w:eastAsia="宋体" w:hAnsi="宋体" w:cs="宋体" w:hint="eastAsia"/>
        </w:rPr>
        <w:t>A</w:t>
      </w:r>
      <w:r>
        <w:rPr>
          <w:rFonts w:ascii="宋体" w:eastAsia="宋体" w:hAnsi="宋体" w:cs="宋体" w:hint="eastAsia"/>
        </w:rPr>
        <w:t>股核心宽基</w:t>
      </w:r>
    </w:p>
    <w:p w14:paraId="6870CC4C" w14:textId="71712123" w:rsidR="00462F7F" w:rsidRDefault="00770C01">
      <w:pPr>
        <w:rPr>
          <w:rFonts w:ascii="宋体" w:eastAsia="宋体" w:hAnsi="宋体" w:cs="宋体"/>
        </w:rPr>
      </w:pPr>
      <w:r>
        <w:rPr>
          <w:rFonts w:ascii="宋体" w:eastAsia="宋体" w:hAnsi="宋体" w:cs="宋体" w:hint="eastAsia"/>
        </w:rPr>
        <w:t>就选华富上证</w:t>
      </w:r>
      <w:r>
        <w:rPr>
          <w:rFonts w:ascii="宋体" w:eastAsia="宋体" w:hAnsi="宋体" w:cs="宋体" w:hint="eastAsia"/>
        </w:rPr>
        <w:t>综合</w:t>
      </w:r>
      <w:r>
        <w:rPr>
          <w:rFonts w:ascii="宋体" w:eastAsia="宋体" w:hAnsi="宋体" w:cs="宋体" w:hint="eastAsia"/>
        </w:rPr>
        <w:t>指数增强</w:t>
      </w:r>
    </w:p>
    <w:p w14:paraId="2F8841F4" w14:textId="77777777" w:rsidR="00462F7F" w:rsidRDefault="00770C01">
      <w:pPr>
        <w:rPr>
          <w:rFonts w:ascii="宋体" w:eastAsia="宋体" w:hAnsi="宋体" w:cs="宋体"/>
        </w:rPr>
      </w:pPr>
      <w:r>
        <w:rPr>
          <w:rFonts w:ascii="宋体" w:eastAsia="宋体" w:hAnsi="宋体" w:cs="宋体" w:hint="eastAsia"/>
        </w:rPr>
        <w:t>市场有风险</w:t>
      </w:r>
      <w:r>
        <w:rPr>
          <w:rFonts w:ascii="宋体" w:eastAsia="宋体" w:hAnsi="宋体" w:cs="宋体" w:hint="eastAsia"/>
        </w:rPr>
        <w:t xml:space="preserve"> </w:t>
      </w:r>
      <w:r>
        <w:rPr>
          <w:rFonts w:ascii="宋体" w:eastAsia="宋体" w:hAnsi="宋体" w:cs="宋体" w:hint="eastAsia"/>
        </w:rPr>
        <w:t>投资须谨慎</w:t>
      </w:r>
      <w:r>
        <w:rPr>
          <w:rFonts w:ascii="宋体" w:eastAsia="宋体" w:hAnsi="宋体" w:cs="宋体" w:hint="eastAsia"/>
        </w:rPr>
        <w:t xml:space="preserve"> </w:t>
      </w:r>
    </w:p>
    <w:p w14:paraId="785AD24F" w14:textId="77777777" w:rsidR="00462F7F" w:rsidRDefault="00462F7F">
      <w:pPr>
        <w:rPr>
          <w:rFonts w:ascii="宋体" w:eastAsia="宋体" w:hAnsi="宋体" w:cs="宋体"/>
        </w:rPr>
      </w:pPr>
    </w:p>
    <w:p w14:paraId="41A87DC6" w14:textId="77777777" w:rsidR="00462F7F" w:rsidRDefault="00462F7F">
      <w:pPr>
        <w:rPr>
          <w:rFonts w:ascii="宋体" w:eastAsia="宋体" w:hAnsi="宋体" w:cs="宋体"/>
        </w:rPr>
      </w:pPr>
    </w:p>
    <w:p w14:paraId="4A62C68B" w14:textId="77777777" w:rsidR="00462F7F" w:rsidRDefault="00770C01">
      <w:pPr>
        <w:rPr>
          <w:rFonts w:ascii="宋体" w:eastAsia="宋体" w:hAnsi="宋体" w:cs="宋体"/>
          <w:color w:val="000000" w:themeColor="text1"/>
          <w:kern w:val="24"/>
          <w:sz w:val="20"/>
          <w:szCs w:val="20"/>
        </w:rPr>
      </w:pPr>
      <w:r>
        <w:rPr>
          <w:rFonts w:ascii="宋体" w:eastAsia="宋体" w:hAnsi="宋体" w:cs="宋体" w:hint="eastAsia"/>
          <w:color w:val="000000" w:themeColor="text1"/>
          <w:kern w:val="24"/>
          <w:sz w:val="20"/>
          <w:szCs w:val="20"/>
        </w:rPr>
        <w:t>风险提示：</w:t>
      </w:r>
      <w:r>
        <w:rPr>
          <w:rFonts w:ascii="宋体" w:eastAsia="宋体" w:hAnsi="宋体" w:cs="宋体" w:hint="eastAsia"/>
          <w:b/>
          <w:bCs/>
          <w:color w:val="000000" w:themeColor="text1"/>
          <w:kern w:val="24"/>
          <w:sz w:val="20"/>
          <w:szCs w:val="20"/>
        </w:rPr>
        <w:t>基金有风险，投资须谨慎。</w:t>
      </w:r>
      <w:r>
        <w:rPr>
          <w:rFonts w:ascii="宋体" w:eastAsia="宋体" w:hAnsi="宋体" w:cs="宋体" w:hint="eastAsia"/>
          <w:color w:val="000000" w:themeColor="text1"/>
          <w:kern w:val="24"/>
          <w:sz w:val="20"/>
          <w:szCs w:val="20"/>
        </w:rPr>
        <w:t>华富上证综合指数增强型证券投资基金为股票型基金，标的指数为上证综合指数，股票资产投资比例不低于基金资产的</w:t>
      </w:r>
      <w:r>
        <w:rPr>
          <w:rFonts w:ascii="宋体" w:eastAsia="宋体" w:hAnsi="宋体" w:cs="宋体" w:hint="eastAsia"/>
          <w:color w:val="000000" w:themeColor="text1"/>
          <w:kern w:val="24"/>
          <w:sz w:val="20"/>
          <w:szCs w:val="20"/>
        </w:rPr>
        <w:t>80%</w:t>
      </w:r>
      <w:r>
        <w:rPr>
          <w:rFonts w:ascii="宋体" w:eastAsia="宋体" w:hAnsi="宋体" w:cs="宋体" w:hint="eastAsia"/>
          <w:color w:val="000000" w:themeColor="text1"/>
          <w:kern w:val="24"/>
          <w:sz w:val="20"/>
          <w:szCs w:val="20"/>
        </w:rPr>
        <w:t>，其中投资于标的指数成份股和备选成份股的资产不低于非现金基金资产的</w:t>
      </w:r>
      <w:r>
        <w:rPr>
          <w:rFonts w:ascii="宋体" w:eastAsia="宋体" w:hAnsi="宋体" w:cs="宋体" w:hint="eastAsia"/>
          <w:color w:val="000000" w:themeColor="text1"/>
          <w:kern w:val="24"/>
          <w:sz w:val="20"/>
          <w:szCs w:val="20"/>
        </w:rPr>
        <w:t>80%</w:t>
      </w:r>
      <w:r>
        <w:rPr>
          <w:rFonts w:ascii="宋体" w:eastAsia="宋体" w:hAnsi="宋体" w:cs="宋体" w:hint="eastAsia"/>
          <w:color w:val="000000" w:themeColor="text1"/>
          <w:kern w:val="24"/>
          <w:sz w:val="20"/>
          <w:szCs w:val="20"/>
        </w:rPr>
        <w:t>，投资于港股通标的股票的比例不超过股票资产的</w:t>
      </w:r>
      <w:r>
        <w:rPr>
          <w:rFonts w:ascii="宋体" w:eastAsia="宋体" w:hAnsi="宋体" w:cs="宋体" w:hint="eastAsia"/>
          <w:color w:val="000000" w:themeColor="text1"/>
          <w:kern w:val="24"/>
          <w:sz w:val="20"/>
          <w:szCs w:val="20"/>
        </w:rPr>
        <w:t>50%</w:t>
      </w:r>
      <w:r>
        <w:rPr>
          <w:rFonts w:ascii="宋体" w:eastAsia="宋体" w:hAnsi="宋体" w:cs="宋体" w:hint="eastAsia"/>
          <w:color w:val="000000" w:themeColor="text1"/>
          <w:kern w:val="24"/>
          <w:sz w:val="20"/>
          <w:szCs w:val="20"/>
        </w:rPr>
        <w:t>。</w:t>
      </w:r>
      <w:r>
        <w:rPr>
          <w:rFonts w:ascii="宋体" w:eastAsia="宋体" w:hAnsi="宋体" w:cs="宋体" w:hint="eastAsia"/>
          <w:b/>
          <w:bCs/>
          <w:color w:val="000000" w:themeColor="text1"/>
          <w:kern w:val="24"/>
          <w:sz w:val="20"/>
          <w:szCs w:val="20"/>
        </w:rPr>
        <w:t>指数型基金可能发生基金投资组合回报与标的指数回报偏离，指数编制机构停止服务，成份券停牌、摘牌或违约等风险。</w:t>
      </w:r>
      <w:r>
        <w:rPr>
          <w:rFonts w:ascii="宋体" w:eastAsia="宋体" w:hAnsi="宋体" w:cs="宋体" w:hint="eastAsia"/>
          <w:b/>
          <w:bCs/>
          <w:color w:val="000000" w:themeColor="text1"/>
          <w:kern w:val="24"/>
          <w:sz w:val="20"/>
          <w:szCs w:val="20"/>
        </w:rPr>
        <w:t>本</w:t>
      </w:r>
      <w:r>
        <w:rPr>
          <w:rFonts w:ascii="宋体" w:eastAsia="宋体" w:hAnsi="宋体" w:cs="宋体" w:hint="eastAsia"/>
          <w:b/>
          <w:bCs/>
          <w:color w:val="000000" w:themeColor="text1"/>
          <w:kern w:val="24"/>
          <w:sz w:val="20"/>
          <w:szCs w:val="20"/>
        </w:rPr>
        <w:t>基金面临港股通机制下因投资环境、市场制度、交易规则以及税收政策等差异所带来的特有风险。基金投资收益将受到证券市场调整而发生波动，可能会发生本金亏损</w:t>
      </w:r>
      <w:r>
        <w:rPr>
          <w:rFonts w:ascii="宋体" w:eastAsia="宋体" w:hAnsi="宋体" w:cs="宋体" w:hint="eastAsia"/>
          <w:color w:val="000000" w:themeColor="text1"/>
          <w:kern w:val="24"/>
          <w:sz w:val="20"/>
          <w:szCs w:val="20"/>
        </w:rPr>
        <w:t>。有关本基金的具体风险，请详见《招募说明书》相关章节。</w:t>
      </w:r>
      <w:r>
        <w:rPr>
          <w:rFonts w:ascii="宋体" w:eastAsia="宋体" w:hAnsi="宋体" w:cs="宋体" w:hint="eastAsia"/>
          <w:b/>
          <w:bCs/>
          <w:color w:val="000000" w:themeColor="text1"/>
          <w:kern w:val="24"/>
          <w:sz w:val="20"/>
          <w:szCs w:val="20"/>
        </w:rPr>
        <w:t>建设银行评估的风险等级为</w:t>
      </w:r>
      <w:r>
        <w:rPr>
          <w:rFonts w:ascii="宋体" w:eastAsia="宋体" w:hAnsi="宋体" w:cs="宋体" w:hint="eastAsia"/>
          <w:b/>
          <w:bCs/>
          <w:color w:val="000000" w:themeColor="text1"/>
          <w:kern w:val="24"/>
          <w:sz w:val="20"/>
          <w:szCs w:val="20"/>
        </w:rPr>
        <w:t>R4-</w:t>
      </w:r>
      <w:r>
        <w:rPr>
          <w:rFonts w:ascii="宋体" w:eastAsia="宋体" w:hAnsi="宋体" w:cs="宋体" w:hint="eastAsia"/>
          <w:b/>
          <w:bCs/>
          <w:color w:val="000000" w:themeColor="text1"/>
          <w:kern w:val="24"/>
          <w:sz w:val="20"/>
          <w:szCs w:val="20"/>
        </w:rPr>
        <w:t>中高风险，适合</w:t>
      </w:r>
      <w:r>
        <w:rPr>
          <w:rFonts w:ascii="宋体" w:eastAsia="宋体" w:hAnsi="宋体" w:cs="宋体" w:hint="eastAsia"/>
          <w:b/>
          <w:bCs/>
          <w:color w:val="000000" w:themeColor="text1"/>
          <w:kern w:val="24"/>
          <w:sz w:val="20"/>
          <w:szCs w:val="20"/>
        </w:rPr>
        <w:t>C4-</w:t>
      </w:r>
      <w:r>
        <w:rPr>
          <w:rFonts w:ascii="宋体" w:eastAsia="宋体" w:hAnsi="宋体" w:cs="宋体" w:hint="eastAsia"/>
          <w:b/>
          <w:bCs/>
          <w:color w:val="000000" w:themeColor="text1"/>
          <w:kern w:val="24"/>
          <w:sz w:val="20"/>
          <w:szCs w:val="20"/>
        </w:rPr>
        <w:t>进取型（及以上）的投资者，适当性匹配意见请以销售机构为准</w:t>
      </w:r>
      <w:r>
        <w:rPr>
          <w:rFonts w:ascii="宋体" w:eastAsia="宋体" w:hAnsi="宋体" w:cs="宋体" w:hint="eastAsia"/>
          <w:color w:val="000000" w:themeColor="text1"/>
          <w:kern w:val="24"/>
          <w:sz w:val="20"/>
          <w:szCs w:val="20"/>
        </w:rPr>
        <w:t>，请投资人根据自身风险承受能力等情况自行做出投资选择。请投资人根据各销售机构对以上产品评级结果进行适当性评估后购买。</w:t>
      </w:r>
      <w:r>
        <w:rPr>
          <w:rFonts w:ascii="宋体" w:eastAsia="宋体" w:hAnsi="宋体" w:cs="宋体" w:hint="eastAsia"/>
          <w:b/>
          <w:bCs/>
          <w:color w:val="000000" w:themeColor="text1"/>
          <w:kern w:val="24"/>
          <w:sz w:val="20"/>
          <w:szCs w:val="20"/>
        </w:rPr>
        <w:t>上证综合指数的历史收益情况不预示其未来表现，不构成对本基金业绩表现的保证，请投资者关注指数波动的风险。指数型基金可能发生基金投资组合回报与标的指数回报偏离，指数编制机构停止服务，成份券停牌、摘牌或违约等风险。基金的过往业绩并不预示其未来</w:t>
      </w:r>
      <w:r>
        <w:rPr>
          <w:rFonts w:ascii="宋体" w:eastAsia="宋体" w:hAnsi="宋体" w:cs="宋体" w:hint="eastAsia"/>
          <w:b/>
          <w:bCs/>
          <w:color w:val="000000" w:themeColor="text1"/>
          <w:kern w:val="24"/>
          <w:sz w:val="20"/>
          <w:szCs w:val="20"/>
        </w:rPr>
        <w:t>表现，基金管理人管理的其他基金的业绩并不构成基金业绩表现的保证。</w:t>
      </w:r>
      <w:r>
        <w:rPr>
          <w:rFonts w:ascii="宋体" w:eastAsia="宋体" w:hAnsi="宋体" w:cs="宋体" w:hint="eastAsia"/>
          <w:color w:val="000000" w:themeColor="text1"/>
          <w:kern w:val="24"/>
          <w:sz w:val="20"/>
          <w:szCs w:val="20"/>
        </w:rPr>
        <w:t>基金管理人承诺以诚实守信、勤勉尽责原则管理和运用基金财产，但</w:t>
      </w:r>
      <w:r>
        <w:rPr>
          <w:rFonts w:ascii="宋体" w:eastAsia="宋体" w:hAnsi="宋体" w:cs="宋体" w:hint="eastAsia"/>
          <w:b/>
          <w:bCs/>
          <w:color w:val="000000" w:themeColor="text1"/>
          <w:kern w:val="24"/>
          <w:sz w:val="20"/>
          <w:szCs w:val="20"/>
        </w:rPr>
        <w:t>不保证基金一定盈利，也不保证最低收益</w:t>
      </w:r>
      <w:r>
        <w:rPr>
          <w:rFonts w:ascii="宋体" w:eastAsia="宋体" w:hAnsi="宋体" w:cs="宋体" w:hint="eastAsia"/>
          <w:color w:val="000000" w:themeColor="text1"/>
          <w:kern w:val="24"/>
          <w:sz w:val="20"/>
          <w:szCs w:val="20"/>
        </w:rPr>
        <w:t>。我国基金运作时间较短，不能反映股市</w:t>
      </w:r>
      <w:r>
        <w:rPr>
          <w:rFonts w:ascii="宋体" w:eastAsia="宋体" w:hAnsi="宋体" w:cs="宋体" w:hint="eastAsia"/>
          <w:color w:val="000000" w:themeColor="text1"/>
          <w:kern w:val="24"/>
          <w:sz w:val="20"/>
          <w:szCs w:val="20"/>
        </w:rPr>
        <w:t>/</w:t>
      </w:r>
      <w:r>
        <w:rPr>
          <w:rFonts w:ascii="宋体" w:eastAsia="宋体" w:hAnsi="宋体" w:cs="宋体" w:hint="eastAsia"/>
          <w:color w:val="000000" w:themeColor="text1"/>
          <w:kern w:val="24"/>
          <w:sz w:val="20"/>
          <w:szCs w:val="20"/>
        </w:rPr>
        <w:t>债市发展的所有阶段。基金管理人提示投资者的“买者自负”原则，在作出投资决策后，与基金投资有关的风险由投资者</w:t>
      </w:r>
      <w:r>
        <w:rPr>
          <w:rFonts w:ascii="宋体" w:eastAsia="宋体" w:hAnsi="宋体" w:cs="宋体" w:hint="eastAsia"/>
          <w:color w:val="000000" w:themeColor="text1"/>
          <w:kern w:val="24"/>
          <w:sz w:val="20"/>
          <w:szCs w:val="20"/>
        </w:rPr>
        <w:lastRenderedPageBreak/>
        <w:t>自行承担。本产品由华富基金管理有限公司发行与管理，建设银行作为代销机构不承担产品的投资和兑付责任。基金在投资运作过程中可能面临各种风险，既包括市场风险，也包括基金自身的管理风险、技术风险和合规风险等。巨额赎回</w:t>
      </w:r>
      <w:r>
        <w:rPr>
          <w:rFonts w:ascii="宋体" w:eastAsia="宋体" w:hAnsi="宋体" w:cs="宋体" w:hint="eastAsia"/>
          <w:color w:val="000000" w:themeColor="text1"/>
          <w:kern w:val="24"/>
          <w:sz w:val="20"/>
          <w:szCs w:val="20"/>
        </w:rPr>
        <w:t>风险是开放式基金所特有的一种风险，即当单个开放日基金的净赎回申请超过基金总份额的一定比例（开放式基金为百分之十，定期开放基金为百分之二十，中国证监会规定的特殊产品除外）时，您将可能无法及时赎回申请的全部基金份额，或您赎回的款项可能延缓支付。您应当充分了解基金定期定额投资和零存整取等储蓄方式的区别。定期定额投资是引导投资者进行长期投资、平均投资成本的一种简单易行的投资方式，但并不能规避基金投资所固有的风险，不能保证投资者获得收益，也不是替代储蓄的等效理财方式。</w:t>
      </w:r>
    </w:p>
    <w:p w14:paraId="4D7E75D6" w14:textId="77777777" w:rsidR="00462F7F" w:rsidRDefault="00462F7F">
      <w:pPr>
        <w:rPr>
          <w:rFonts w:ascii="宋体" w:eastAsia="宋体" w:hAnsi="宋体" w:cs="宋体"/>
          <w:highlight w:val="yellow"/>
        </w:rPr>
      </w:pPr>
    </w:p>
    <w:p w14:paraId="757A5DCF" w14:textId="77777777" w:rsidR="00462F7F" w:rsidRDefault="00770C01">
      <w:pPr>
        <w:rPr>
          <w:rFonts w:ascii="宋体" w:eastAsia="宋体" w:hAnsi="宋体" w:cs="宋体"/>
        </w:rPr>
      </w:pPr>
      <w:r>
        <w:rPr>
          <w:rFonts w:ascii="宋体" w:eastAsia="宋体" w:hAnsi="宋体" w:cs="宋体" w:hint="eastAsia"/>
          <w:sz w:val="20"/>
          <w:szCs w:val="22"/>
        </w:rPr>
        <w:t>本基金产品费率：</w:t>
      </w: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551"/>
        <w:gridCol w:w="1418"/>
        <w:gridCol w:w="1559"/>
      </w:tblGrid>
      <w:tr w:rsidR="00462F7F" w14:paraId="15B89D06" w14:textId="77777777">
        <w:trPr>
          <w:trHeight w:val="190"/>
          <w:jc w:val="center"/>
        </w:trPr>
        <w:tc>
          <w:tcPr>
            <w:tcW w:w="1702" w:type="dxa"/>
            <w:vMerge w:val="restart"/>
            <w:shd w:val="clear" w:color="auto" w:fill="91ABDF" w:themeFill="accent1" w:themeFillTint="99"/>
            <w:vAlign w:val="center"/>
          </w:tcPr>
          <w:p w14:paraId="4DE8CA6B"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认购费</w:t>
            </w:r>
          </w:p>
        </w:tc>
        <w:tc>
          <w:tcPr>
            <w:tcW w:w="2551" w:type="dxa"/>
            <w:shd w:val="clear" w:color="auto" w:fill="91ABDF" w:themeFill="accent1" w:themeFillTint="99"/>
            <w:vAlign w:val="center"/>
          </w:tcPr>
          <w:p w14:paraId="15BEC9B2"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单笔认购金额</w:t>
            </w:r>
          </w:p>
          <w:p w14:paraId="19CFE82F"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w:t>
            </w:r>
            <w:r>
              <w:rPr>
                <w:rFonts w:ascii="宋体" w:eastAsia="宋体" w:hAnsi="宋体" w:cs="宋体" w:hint="eastAsia"/>
                <w:sz w:val="18"/>
                <w:szCs w:val="20"/>
              </w:rPr>
              <w:t>M</w:t>
            </w:r>
            <w:r>
              <w:rPr>
                <w:rFonts w:ascii="宋体" w:eastAsia="宋体" w:hAnsi="宋体" w:cs="宋体" w:hint="eastAsia"/>
                <w:sz w:val="18"/>
                <w:szCs w:val="20"/>
              </w:rPr>
              <w:t>，含认购费）</w:t>
            </w:r>
          </w:p>
        </w:tc>
        <w:tc>
          <w:tcPr>
            <w:tcW w:w="1418" w:type="dxa"/>
            <w:shd w:val="clear" w:color="auto" w:fill="91ABDF" w:themeFill="accent1" w:themeFillTint="99"/>
            <w:vAlign w:val="center"/>
          </w:tcPr>
          <w:p w14:paraId="2ED0CC1D"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A</w:t>
            </w:r>
            <w:r>
              <w:rPr>
                <w:rFonts w:ascii="宋体" w:eastAsia="宋体" w:hAnsi="宋体" w:cs="宋体" w:hint="eastAsia"/>
                <w:sz w:val="18"/>
                <w:szCs w:val="20"/>
              </w:rPr>
              <w:t>类</w:t>
            </w:r>
          </w:p>
        </w:tc>
        <w:tc>
          <w:tcPr>
            <w:tcW w:w="1559" w:type="dxa"/>
            <w:shd w:val="clear" w:color="auto" w:fill="91ABDF" w:themeFill="accent1" w:themeFillTint="99"/>
            <w:vAlign w:val="center"/>
          </w:tcPr>
          <w:p w14:paraId="4EA80719"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C</w:t>
            </w:r>
            <w:r>
              <w:rPr>
                <w:rFonts w:ascii="宋体" w:eastAsia="宋体" w:hAnsi="宋体" w:cs="宋体" w:hint="eastAsia"/>
                <w:sz w:val="18"/>
                <w:szCs w:val="20"/>
              </w:rPr>
              <w:t>类</w:t>
            </w:r>
          </w:p>
        </w:tc>
      </w:tr>
      <w:tr w:rsidR="00462F7F" w14:paraId="2B82A61F" w14:textId="77777777">
        <w:trPr>
          <w:trHeight w:val="190"/>
          <w:jc w:val="center"/>
        </w:trPr>
        <w:tc>
          <w:tcPr>
            <w:tcW w:w="1702" w:type="dxa"/>
            <w:vMerge/>
            <w:vAlign w:val="center"/>
          </w:tcPr>
          <w:p w14:paraId="67AF62CE" w14:textId="77777777" w:rsidR="00462F7F" w:rsidRDefault="00462F7F">
            <w:pPr>
              <w:jc w:val="center"/>
              <w:rPr>
                <w:rFonts w:ascii="宋体" w:eastAsia="宋体" w:hAnsi="宋体" w:cs="宋体"/>
                <w:bCs/>
                <w:sz w:val="18"/>
                <w:szCs w:val="20"/>
              </w:rPr>
            </w:pPr>
          </w:p>
        </w:tc>
        <w:tc>
          <w:tcPr>
            <w:tcW w:w="2551" w:type="dxa"/>
            <w:shd w:val="clear" w:color="auto" w:fill="DAE3F4" w:themeFill="accent1" w:themeFillTint="33"/>
            <w:vAlign w:val="center"/>
          </w:tcPr>
          <w:p w14:paraId="57DB86F7" w14:textId="77777777" w:rsidR="00462F7F" w:rsidRDefault="00770C01">
            <w:pPr>
              <w:jc w:val="center"/>
              <w:rPr>
                <w:rFonts w:ascii="宋体" w:eastAsia="宋体" w:hAnsi="宋体" w:cs="宋体"/>
                <w:sz w:val="18"/>
                <w:szCs w:val="20"/>
              </w:rPr>
            </w:pPr>
            <w:r>
              <w:rPr>
                <w:rFonts w:ascii="宋体" w:eastAsia="宋体" w:hAnsi="宋体" w:cs="宋体" w:hint="eastAsia"/>
                <w:bCs/>
                <w:sz w:val="18"/>
                <w:szCs w:val="20"/>
              </w:rPr>
              <w:t>M</w:t>
            </w:r>
            <w:r>
              <w:rPr>
                <w:rFonts w:ascii="宋体" w:eastAsia="宋体" w:hAnsi="宋体" w:cs="宋体" w:hint="eastAsia"/>
                <w:bCs/>
                <w:sz w:val="18"/>
                <w:szCs w:val="20"/>
              </w:rPr>
              <w:t>＜</w:t>
            </w:r>
            <w:r>
              <w:rPr>
                <w:rFonts w:ascii="宋体" w:eastAsia="宋体" w:hAnsi="宋体" w:cs="宋体" w:hint="eastAsia"/>
                <w:bCs/>
                <w:sz w:val="18"/>
                <w:szCs w:val="20"/>
              </w:rPr>
              <w:t>100</w:t>
            </w:r>
            <w:r>
              <w:rPr>
                <w:rFonts w:ascii="宋体" w:eastAsia="宋体" w:hAnsi="宋体" w:cs="宋体" w:hint="eastAsia"/>
                <w:bCs/>
                <w:sz w:val="18"/>
                <w:szCs w:val="20"/>
              </w:rPr>
              <w:t>万</w:t>
            </w:r>
          </w:p>
        </w:tc>
        <w:tc>
          <w:tcPr>
            <w:tcW w:w="1418" w:type="dxa"/>
            <w:shd w:val="clear" w:color="auto" w:fill="DAE3F4" w:themeFill="accent1" w:themeFillTint="33"/>
            <w:vAlign w:val="center"/>
          </w:tcPr>
          <w:p w14:paraId="6D9464BD" w14:textId="77777777" w:rsidR="00462F7F" w:rsidRDefault="00770C01">
            <w:pPr>
              <w:jc w:val="center"/>
              <w:rPr>
                <w:rFonts w:ascii="宋体" w:eastAsia="宋体" w:hAnsi="宋体" w:cs="宋体"/>
                <w:sz w:val="18"/>
                <w:szCs w:val="20"/>
              </w:rPr>
            </w:pPr>
            <w:r>
              <w:rPr>
                <w:rFonts w:ascii="宋体" w:eastAsia="宋体" w:hAnsi="宋体" w:cs="宋体" w:hint="eastAsia"/>
                <w:bCs/>
                <w:sz w:val="18"/>
                <w:szCs w:val="20"/>
              </w:rPr>
              <w:t>0.30%</w:t>
            </w:r>
          </w:p>
        </w:tc>
        <w:tc>
          <w:tcPr>
            <w:tcW w:w="1559" w:type="dxa"/>
            <w:vMerge w:val="restart"/>
            <w:shd w:val="clear" w:color="auto" w:fill="DAE3F4" w:themeFill="accent1" w:themeFillTint="33"/>
            <w:vAlign w:val="center"/>
          </w:tcPr>
          <w:p w14:paraId="1BF579A7" w14:textId="77777777" w:rsidR="00462F7F" w:rsidRDefault="00770C01">
            <w:pPr>
              <w:jc w:val="center"/>
              <w:rPr>
                <w:rFonts w:ascii="宋体" w:eastAsia="宋体" w:hAnsi="宋体" w:cs="宋体"/>
                <w:bCs/>
                <w:sz w:val="18"/>
                <w:szCs w:val="20"/>
              </w:rPr>
            </w:pPr>
            <w:r>
              <w:rPr>
                <w:rFonts w:ascii="宋体" w:eastAsia="宋体" w:hAnsi="宋体" w:cs="宋体" w:hint="eastAsia"/>
                <w:bCs/>
                <w:sz w:val="18"/>
                <w:szCs w:val="20"/>
              </w:rPr>
              <w:t>0</w:t>
            </w:r>
          </w:p>
        </w:tc>
      </w:tr>
      <w:tr w:rsidR="00462F7F" w14:paraId="52E993F7" w14:textId="77777777">
        <w:trPr>
          <w:trHeight w:val="190"/>
          <w:jc w:val="center"/>
        </w:trPr>
        <w:tc>
          <w:tcPr>
            <w:tcW w:w="1702" w:type="dxa"/>
            <w:vMerge/>
            <w:vAlign w:val="center"/>
          </w:tcPr>
          <w:p w14:paraId="3CDC7E07"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1C5D3697" w14:textId="77777777" w:rsidR="00462F7F" w:rsidRDefault="00770C01">
            <w:pPr>
              <w:jc w:val="center"/>
              <w:rPr>
                <w:rFonts w:ascii="宋体" w:eastAsia="宋体" w:hAnsi="宋体" w:cs="宋体"/>
                <w:bCs/>
                <w:sz w:val="18"/>
                <w:szCs w:val="20"/>
              </w:rPr>
            </w:pPr>
            <w:r>
              <w:rPr>
                <w:rFonts w:ascii="宋体" w:eastAsia="宋体" w:hAnsi="宋体" w:cs="宋体" w:hint="eastAsia"/>
                <w:sz w:val="18"/>
                <w:szCs w:val="20"/>
              </w:rPr>
              <w:t>100</w:t>
            </w:r>
            <w:r>
              <w:rPr>
                <w:rFonts w:ascii="宋体" w:eastAsia="宋体" w:hAnsi="宋体" w:cs="宋体" w:hint="eastAsia"/>
                <w:sz w:val="18"/>
                <w:szCs w:val="20"/>
              </w:rPr>
              <w:t>万≤</w:t>
            </w:r>
            <w:r>
              <w:rPr>
                <w:rFonts w:ascii="宋体" w:eastAsia="宋体" w:hAnsi="宋体" w:cs="宋体" w:hint="eastAsia"/>
                <w:sz w:val="18"/>
                <w:szCs w:val="20"/>
              </w:rPr>
              <w:t>M</w:t>
            </w:r>
            <w:r>
              <w:rPr>
                <w:rFonts w:ascii="宋体" w:eastAsia="宋体" w:hAnsi="宋体" w:cs="宋体" w:hint="eastAsia"/>
                <w:sz w:val="18"/>
                <w:szCs w:val="20"/>
              </w:rPr>
              <w:t>＜</w:t>
            </w:r>
            <w:r>
              <w:rPr>
                <w:rFonts w:ascii="宋体" w:eastAsia="宋体" w:hAnsi="宋体" w:cs="宋体" w:hint="eastAsia"/>
                <w:sz w:val="18"/>
                <w:szCs w:val="20"/>
              </w:rPr>
              <w:t>500</w:t>
            </w:r>
            <w:r>
              <w:rPr>
                <w:rFonts w:ascii="宋体" w:eastAsia="宋体" w:hAnsi="宋体" w:cs="宋体" w:hint="eastAsia"/>
                <w:sz w:val="18"/>
                <w:szCs w:val="20"/>
              </w:rPr>
              <w:t>万</w:t>
            </w:r>
          </w:p>
        </w:tc>
        <w:tc>
          <w:tcPr>
            <w:tcW w:w="1418" w:type="dxa"/>
            <w:shd w:val="clear" w:color="auto" w:fill="DAE3F4" w:themeFill="accent1" w:themeFillTint="33"/>
            <w:vAlign w:val="center"/>
          </w:tcPr>
          <w:p w14:paraId="7CDE9AE0" w14:textId="77777777" w:rsidR="00462F7F" w:rsidRDefault="00770C01">
            <w:pPr>
              <w:jc w:val="center"/>
              <w:rPr>
                <w:rFonts w:ascii="宋体" w:eastAsia="宋体" w:hAnsi="宋体" w:cs="宋体"/>
                <w:bCs/>
                <w:sz w:val="18"/>
                <w:szCs w:val="20"/>
              </w:rPr>
            </w:pPr>
            <w:r>
              <w:rPr>
                <w:rFonts w:ascii="宋体" w:eastAsia="宋体" w:hAnsi="宋体" w:cs="宋体" w:hint="eastAsia"/>
                <w:sz w:val="18"/>
                <w:szCs w:val="20"/>
              </w:rPr>
              <w:t>0.20%</w:t>
            </w:r>
          </w:p>
        </w:tc>
        <w:tc>
          <w:tcPr>
            <w:tcW w:w="1559" w:type="dxa"/>
            <w:vMerge/>
            <w:shd w:val="clear" w:color="auto" w:fill="DAE3F4" w:themeFill="accent1" w:themeFillTint="33"/>
            <w:vAlign w:val="center"/>
          </w:tcPr>
          <w:p w14:paraId="204B9AB8" w14:textId="77777777" w:rsidR="00462F7F" w:rsidRDefault="00462F7F">
            <w:pPr>
              <w:jc w:val="center"/>
              <w:rPr>
                <w:rFonts w:ascii="宋体" w:eastAsia="宋体" w:hAnsi="宋体" w:cs="宋体"/>
                <w:sz w:val="18"/>
                <w:szCs w:val="20"/>
              </w:rPr>
            </w:pPr>
          </w:p>
        </w:tc>
      </w:tr>
      <w:tr w:rsidR="00462F7F" w14:paraId="7A22A45D" w14:textId="77777777">
        <w:trPr>
          <w:trHeight w:val="190"/>
          <w:jc w:val="center"/>
        </w:trPr>
        <w:tc>
          <w:tcPr>
            <w:tcW w:w="1702" w:type="dxa"/>
            <w:vMerge/>
            <w:vAlign w:val="center"/>
          </w:tcPr>
          <w:p w14:paraId="707D0261"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69FC1336"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500</w:t>
            </w:r>
            <w:r>
              <w:rPr>
                <w:rFonts w:ascii="宋体" w:eastAsia="宋体" w:hAnsi="宋体" w:cs="宋体" w:hint="eastAsia"/>
                <w:sz w:val="18"/>
                <w:szCs w:val="20"/>
              </w:rPr>
              <w:t>万≤</w:t>
            </w:r>
            <w:r>
              <w:rPr>
                <w:rFonts w:ascii="宋体" w:eastAsia="宋体" w:hAnsi="宋体" w:cs="宋体" w:hint="eastAsia"/>
                <w:sz w:val="18"/>
                <w:szCs w:val="20"/>
              </w:rPr>
              <w:t>M</w:t>
            </w:r>
          </w:p>
        </w:tc>
        <w:tc>
          <w:tcPr>
            <w:tcW w:w="1418" w:type="dxa"/>
            <w:shd w:val="clear" w:color="auto" w:fill="DAE3F4" w:themeFill="accent1" w:themeFillTint="33"/>
            <w:vAlign w:val="center"/>
          </w:tcPr>
          <w:p w14:paraId="5D3120BA"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每笔</w:t>
            </w:r>
            <w:r>
              <w:rPr>
                <w:rFonts w:ascii="宋体" w:eastAsia="宋体" w:hAnsi="宋体" w:cs="宋体" w:hint="eastAsia"/>
                <w:sz w:val="18"/>
                <w:szCs w:val="20"/>
              </w:rPr>
              <w:t>1000</w:t>
            </w:r>
            <w:r>
              <w:rPr>
                <w:rFonts w:ascii="宋体" w:eastAsia="宋体" w:hAnsi="宋体" w:cs="宋体" w:hint="eastAsia"/>
                <w:sz w:val="18"/>
                <w:szCs w:val="20"/>
              </w:rPr>
              <w:t>元</w:t>
            </w:r>
          </w:p>
        </w:tc>
        <w:tc>
          <w:tcPr>
            <w:tcW w:w="1559" w:type="dxa"/>
            <w:vMerge/>
            <w:shd w:val="clear" w:color="auto" w:fill="DAE3F4" w:themeFill="accent1" w:themeFillTint="33"/>
            <w:vAlign w:val="center"/>
          </w:tcPr>
          <w:p w14:paraId="0EB332DB" w14:textId="77777777" w:rsidR="00462F7F" w:rsidRDefault="00462F7F">
            <w:pPr>
              <w:jc w:val="center"/>
              <w:rPr>
                <w:rFonts w:ascii="宋体" w:eastAsia="宋体" w:hAnsi="宋体" w:cs="宋体"/>
                <w:sz w:val="18"/>
                <w:szCs w:val="20"/>
              </w:rPr>
            </w:pPr>
          </w:p>
        </w:tc>
      </w:tr>
      <w:tr w:rsidR="00462F7F" w14:paraId="1EA1748E" w14:textId="77777777">
        <w:trPr>
          <w:trHeight w:val="190"/>
          <w:jc w:val="center"/>
        </w:trPr>
        <w:tc>
          <w:tcPr>
            <w:tcW w:w="1702" w:type="dxa"/>
            <w:vMerge w:val="restart"/>
            <w:shd w:val="clear" w:color="auto" w:fill="91ABDF" w:themeFill="accent1" w:themeFillTint="99"/>
            <w:vAlign w:val="center"/>
          </w:tcPr>
          <w:p w14:paraId="59EB0FA3"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赎回费</w:t>
            </w:r>
          </w:p>
          <w:p w14:paraId="41911580"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w:t>
            </w:r>
            <w:r>
              <w:rPr>
                <w:rFonts w:ascii="宋体" w:eastAsia="宋体" w:hAnsi="宋体" w:cs="宋体" w:hint="eastAsia"/>
                <w:sz w:val="18"/>
                <w:szCs w:val="20"/>
              </w:rPr>
              <w:t>A/C</w:t>
            </w:r>
            <w:r>
              <w:rPr>
                <w:rFonts w:ascii="宋体" w:eastAsia="宋体" w:hAnsi="宋体" w:cs="宋体" w:hint="eastAsia"/>
                <w:sz w:val="18"/>
                <w:szCs w:val="20"/>
              </w:rPr>
              <w:t>类份额）</w:t>
            </w:r>
            <w:r>
              <w:rPr>
                <w:rFonts w:ascii="宋体" w:eastAsia="宋体" w:hAnsi="宋体" w:cs="宋体" w:hint="eastAsia"/>
                <w:sz w:val="18"/>
                <w:szCs w:val="20"/>
              </w:rPr>
              <w:t xml:space="preserve"> </w:t>
            </w:r>
          </w:p>
        </w:tc>
        <w:tc>
          <w:tcPr>
            <w:tcW w:w="2551" w:type="dxa"/>
            <w:shd w:val="clear" w:color="auto" w:fill="91ABDF" w:themeFill="accent1" w:themeFillTint="99"/>
            <w:vAlign w:val="center"/>
          </w:tcPr>
          <w:p w14:paraId="5E68D30C" w14:textId="77777777" w:rsidR="00462F7F" w:rsidRDefault="00770C01">
            <w:pPr>
              <w:jc w:val="center"/>
              <w:rPr>
                <w:rFonts w:ascii="宋体" w:eastAsia="宋体" w:hAnsi="宋体" w:cs="宋体"/>
                <w:sz w:val="18"/>
                <w:szCs w:val="20"/>
              </w:rPr>
            </w:pPr>
            <w:r>
              <w:rPr>
                <w:rFonts w:ascii="宋体" w:eastAsia="宋体" w:hAnsi="宋体" w:cs="宋体" w:hint="eastAsia"/>
                <w:bCs/>
                <w:sz w:val="18"/>
                <w:szCs w:val="20"/>
              </w:rPr>
              <w:t>持有基金份额期限（</w:t>
            </w:r>
            <w:r>
              <w:rPr>
                <w:rFonts w:ascii="宋体" w:eastAsia="宋体" w:hAnsi="宋体" w:cs="宋体" w:hint="eastAsia"/>
                <w:bCs/>
                <w:sz w:val="18"/>
                <w:szCs w:val="20"/>
              </w:rPr>
              <w:t>N</w:t>
            </w:r>
            <w:r>
              <w:rPr>
                <w:rFonts w:ascii="宋体" w:eastAsia="宋体" w:hAnsi="宋体" w:cs="宋体" w:hint="eastAsia"/>
                <w:bCs/>
                <w:sz w:val="18"/>
                <w:szCs w:val="20"/>
              </w:rPr>
              <w:t>）</w:t>
            </w:r>
          </w:p>
        </w:tc>
        <w:tc>
          <w:tcPr>
            <w:tcW w:w="1418" w:type="dxa"/>
            <w:shd w:val="clear" w:color="auto" w:fill="91ABDF" w:themeFill="accent1" w:themeFillTint="99"/>
            <w:vAlign w:val="center"/>
          </w:tcPr>
          <w:p w14:paraId="31EBA0C9"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个人投资者</w:t>
            </w:r>
          </w:p>
        </w:tc>
        <w:tc>
          <w:tcPr>
            <w:tcW w:w="1559" w:type="dxa"/>
            <w:shd w:val="clear" w:color="auto" w:fill="91ABDF" w:themeFill="accent1" w:themeFillTint="99"/>
            <w:vAlign w:val="center"/>
          </w:tcPr>
          <w:p w14:paraId="090F9412"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非个人投资者</w:t>
            </w:r>
          </w:p>
        </w:tc>
      </w:tr>
      <w:tr w:rsidR="00462F7F" w14:paraId="46B91E0E" w14:textId="77777777">
        <w:trPr>
          <w:trHeight w:val="190"/>
          <w:jc w:val="center"/>
        </w:trPr>
        <w:tc>
          <w:tcPr>
            <w:tcW w:w="1702" w:type="dxa"/>
            <w:vMerge/>
            <w:shd w:val="clear" w:color="auto" w:fill="91ABDF" w:themeFill="accent1" w:themeFillTint="99"/>
            <w:vAlign w:val="center"/>
          </w:tcPr>
          <w:p w14:paraId="275735DE"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090D495A" w14:textId="77777777" w:rsidR="00462F7F" w:rsidRDefault="00770C01">
            <w:pPr>
              <w:jc w:val="center"/>
              <w:rPr>
                <w:rFonts w:ascii="宋体" w:eastAsia="宋体" w:hAnsi="宋体" w:cs="宋体"/>
                <w:sz w:val="18"/>
                <w:szCs w:val="20"/>
              </w:rPr>
            </w:pPr>
            <w:r>
              <w:rPr>
                <w:rFonts w:ascii="宋体" w:eastAsia="宋体" w:hAnsi="宋体" w:cs="宋体" w:hint="eastAsia"/>
                <w:bCs/>
                <w:sz w:val="18"/>
                <w:szCs w:val="20"/>
              </w:rPr>
              <w:t>N</w:t>
            </w:r>
            <w:r>
              <w:rPr>
                <w:rFonts w:ascii="宋体" w:eastAsia="宋体" w:hAnsi="宋体" w:cs="宋体" w:hint="eastAsia"/>
                <w:bCs/>
                <w:sz w:val="18"/>
                <w:szCs w:val="20"/>
              </w:rPr>
              <w:t>＜</w:t>
            </w:r>
            <w:r>
              <w:rPr>
                <w:rFonts w:ascii="宋体" w:eastAsia="宋体" w:hAnsi="宋体" w:cs="宋体" w:hint="eastAsia"/>
                <w:bCs/>
                <w:sz w:val="18"/>
                <w:szCs w:val="20"/>
              </w:rPr>
              <w:t>7</w:t>
            </w:r>
            <w:r>
              <w:rPr>
                <w:rFonts w:ascii="宋体" w:eastAsia="宋体" w:hAnsi="宋体" w:cs="宋体" w:hint="eastAsia"/>
                <w:bCs/>
                <w:sz w:val="18"/>
                <w:szCs w:val="20"/>
              </w:rPr>
              <w:t>日</w:t>
            </w:r>
          </w:p>
        </w:tc>
        <w:tc>
          <w:tcPr>
            <w:tcW w:w="1418" w:type="dxa"/>
            <w:shd w:val="clear" w:color="auto" w:fill="DAE3F4" w:themeFill="accent1" w:themeFillTint="33"/>
            <w:vAlign w:val="center"/>
          </w:tcPr>
          <w:p w14:paraId="1FB25EFC"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1.50%</w:t>
            </w:r>
          </w:p>
        </w:tc>
        <w:tc>
          <w:tcPr>
            <w:tcW w:w="1559" w:type="dxa"/>
            <w:shd w:val="clear" w:color="auto" w:fill="DAE3F4" w:themeFill="accent1" w:themeFillTint="33"/>
            <w:vAlign w:val="center"/>
          </w:tcPr>
          <w:p w14:paraId="749E6DE5"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1.50%</w:t>
            </w:r>
          </w:p>
        </w:tc>
      </w:tr>
      <w:tr w:rsidR="00462F7F" w14:paraId="47423530" w14:textId="77777777">
        <w:trPr>
          <w:trHeight w:val="190"/>
          <w:jc w:val="center"/>
        </w:trPr>
        <w:tc>
          <w:tcPr>
            <w:tcW w:w="1702" w:type="dxa"/>
            <w:vMerge/>
            <w:shd w:val="clear" w:color="auto" w:fill="91ABDF" w:themeFill="accent1" w:themeFillTint="99"/>
            <w:vAlign w:val="center"/>
          </w:tcPr>
          <w:p w14:paraId="4D7029F4"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639BD2E1" w14:textId="77777777" w:rsidR="00462F7F" w:rsidRDefault="00770C01">
            <w:pPr>
              <w:jc w:val="center"/>
              <w:rPr>
                <w:rFonts w:ascii="宋体" w:eastAsia="宋体" w:hAnsi="宋体" w:cs="宋体"/>
                <w:bCs/>
                <w:sz w:val="18"/>
                <w:szCs w:val="20"/>
              </w:rPr>
            </w:pPr>
            <w:r>
              <w:rPr>
                <w:rFonts w:ascii="宋体" w:eastAsia="宋体" w:hAnsi="宋体" w:cs="宋体" w:hint="eastAsia"/>
                <w:sz w:val="18"/>
                <w:szCs w:val="20"/>
              </w:rPr>
              <w:t>7</w:t>
            </w:r>
            <w:r>
              <w:rPr>
                <w:rFonts w:ascii="宋体" w:eastAsia="宋体" w:hAnsi="宋体" w:cs="宋体" w:hint="eastAsia"/>
                <w:sz w:val="18"/>
                <w:szCs w:val="20"/>
              </w:rPr>
              <w:t>日≤</w:t>
            </w:r>
            <w:r>
              <w:rPr>
                <w:rFonts w:ascii="宋体" w:eastAsia="宋体" w:hAnsi="宋体" w:cs="宋体" w:hint="eastAsia"/>
                <w:sz w:val="18"/>
                <w:szCs w:val="20"/>
              </w:rPr>
              <w:t>N</w:t>
            </w:r>
            <w:r>
              <w:rPr>
                <w:rFonts w:ascii="宋体" w:eastAsia="宋体" w:hAnsi="宋体" w:cs="宋体" w:hint="eastAsia"/>
                <w:sz w:val="18"/>
                <w:szCs w:val="20"/>
              </w:rPr>
              <w:t>＜</w:t>
            </w:r>
            <w:r>
              <w:rPr>
                <w:rFonts w:ascii="宋体" w:eastAsia="宋体" w:hAnsi="宋体" w:cs="宋体" w:hint="eastAsia"/>
                <w:sz w:val="18"/>
                <w:szCs w:val="20"/>
              </w:rPr>
              <w:t>30</w:t>
            </w:r>
            <w:r>
              <w:rPr>
                <w:rFonts w:ascii="宋体" w:eastAsia="宋体" w:hAnsi="宋体" w:cs="宋体" w:hint="eastAsia"/>
                <w:sz w:val="18"/>
                <w:szCs w:val="20"/>
              </w:rPr>
              <w:t>日</w:t>
            </w:r>
          </w:p>
        </w:tc>
        <w:tc>
          <w:tcPr>
            <w:tcW w:w="1418" w:type="dxa"/>
            <w:shd w:val="clear" w:color="auto" w:fill="DAE3F4" w:themeFill="accent1" w:themeFillTint="33"/>
            <w:vAlign w:val="center"/>
          </w:tcPr>
          <w:p w14:paraId="6636A712"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0</w:t>
            </w:r>
          </w:p>
        </w:tc>
        <w:tc>
          <w:tcPr>
            <w:tcW w:w="1559" w:type="dxa"/>
            <w:shd w:val="clear" w:color="auto" w:fill="DAE3F4" w:themeFill="accent1" w:themeFillTint="33"/>
            <w:vAlign w:val="center"/>
          </w:tcPr>
          <w:p w14:paraId="68CFC512"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1.00%</w:t>
            </w:r>
          </w:p>
        </w:tc>
      </w:tr>
      <w:tr w:rsidR="00462F7F" w14:paraId="5EA72BB0" w14:textId="77777777">
        <w:trPr>
          <w:trHeight w:val="190"/>
          <w:jc w:val="center"/>
        </w:trPr>
        <w:tc>
          <w:tcPr>
            <w:tcW w:w="1702" w:type="dxa"/>
            <w:vMerge/>
            <w:shd w:val="clear" w:color="auto" w:fill="91ABDF" w:themeFill="accent1" w:themeFillTint="99"/>
            <w:vAlign w:val="center"/>
          </w:tcPr>
          <w:p w14:paraId="1880A37E"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2D2FF1D2"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30</w:t>
            </w:r>
            <w:r>
              <w:rPr>
                <w:rFonts w:ascii="宋体" w:eastAsia="宋体" w:hAnsi="宋体" w:cs="宋体" w:hint="eastAsia"/>
                <w:sz w:val="18"/>
                <w:szCs w:val="20"/>
              </w:rPr>
              <w:t>日≤</w:t>
            </w:r>
            <w:r>
              <w:rPr>
                <w:rFonts w:ascii="宋体" w:eastAsia="宋体" w:hAnsi="宋体" w:cs="宋体" w:hint="eastAsia"/>
                <w:sz w:val="18"/>
                <w:szCs w:val="20"/>
              </w:rPr>
              <w:t>N&lt;180</w:t>
            </w:r>
            <w:r>
              <w:rPr>
                <w:rFonts w:ascii="宋体" w:eastAsia="宋体" w:hAnsi="宋体" w:cs="宋体" w:hint="eastAsia"/>
                <w:sz w:val="18"/>
                <w:szCs w:val="20"/>
              </w:rPr>
              <w:t>日</w:t>
            </w:r>
          </w:p>
        </w:tc>
        <w:tc>
          <w:tcPr>
            <w:tcW w:w="1418" w:type="dxa"/>
            <w:shd w:val="clear" w:color="auto" w:fill="DAE3F4" w:themeFill="accent1" w:themeFillTint="33"/>
            <w:vAlign w:val="center"/>
          </w:tcPr>
          <w:p w14:paraId="321C253D"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0</w:t>
            </w:r>
          </w:p>
        </w:tc>
        <w:tc>
          <w:tcPr>
            <w:tcW w:w="1559" w:type="dxa"/>
            <w:shd w:val="clear" w:color="auto" w:fill="DAE3F4" w:themeFill="accent1" w:themeFillTint="33"/>
            <w:vAlign w:val="center"/>
          </w:tcPr>
          <w:p w14:paraId="3FA43A05"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0.50%</w:t>
            </w:r>
          </w:p>
        </w:tc>
      </w:tr>
      <w:tr w:rsidR="00462F7F" w14:paraId="22EFD42F" w14:textId="77777777">
        <w:trPr>
          <w:trHeight w:val="190"/>
          <w:jc w:val="center"/>
        </w:trPr>
        <w:tc>
          <w:tcPr>
            <w:tcW w:w="1702" w:type="dxa"/>
            <w:vMerge/>
            <w:shd w:val="clear" w:color="auto" w:fill="91ABDF" w:themeFill="accent1" w:themeFillTint="99"/>
            <w:vAlign w:val="center"/>
          </w:tcPr>
          <w:p w14:paraId="7B047D37" w14:textId="77777777" w:rsidR="00462F7F" w:rsidRDefault="00462F7F">
            <w:pPr>
              <w:jc w:val="center"/>
              <w:rPr>
                <w:rFonts w:ascii="宋体" w:eastAsia="宋体" w:hAnsi="宋体" w:cs="宋体"/>
                <w:sz w:val="18"/>
                <w:szCs w:val="20"/>
              </w:rPr>
            </w:pPr>
          </w:p>
        </w:tc>
        <w:tc>
          <w:tcPr>
            <w:tcW w:w="2551" w:type="dxa"/>
            <w:shd w:val="clear" w:color="auto" w:fill="DAE3F4" w:themeFill="accent1" w:themeFillTint="33"/>
            <w:vAlign w:val="center"/>
          </w:tcPr>
          <w:p w14:paraId="77255BC9"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180</w:t>
            </w:r>
            <w:r>
              <w:rPr>
                <w:rFonts w:ascii="宋体" w:eastAsia="宋体" w:hAnsi="宋体" w:cs="宋体" w:hint="eastAsia"/>
                <w:sz w:val="18"/>
                <w:szCs w:val="20"/>
              </w:rPr>
              <w:t>日≤</w:t>
            </w:r>
            <w:r>
              <w:rPr>
                <w:rFonts w:ascii="宋体" w:eastAsia="宋体" w:hAnsi="宋体" w:cs="宋体" w:hint="eastAsia"/>
                <w:sz w:val="18"/>
                <w:szCs w:val="20"/>
              </w:rPr>
              <w:t>N</w:t>
            </w:r>
          </w:p>
        </w:tc>
        <w:tc>
          <w:tcPr>
            <w:tcW w:w="1418" w:type="dxa"/>
            <w:shd w:val="clear" w:color="auto" w:fill="DAE3F4" w:themeFill="accent1" w:themeFillTint="33"/>
            <w:vAlign w:val="center"/>
          </w:tcPr>
          <w:p w14:paraId="3F433C45"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0</w:t>
            </w:r>
          </w:p>
        </w:tc>
        <w:tc>
          <w:tcPr>
            <w:tcW w:w="1559" w:type="dxa"/>
            <w:shd w:val="clear" w:color="auto" w:fill="DAE3F4" w:themeFill="accent1" w:themeFillTint="33"/>
            <w:vAlign w:val="center"/>
          </w:tcPr>
          <w:p w14:paraId="24EE1D75"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0</w:t>
            </w:r>
          </w:p>
        </w:tc>
      </w:tr>
      <w:tr w:rsidR="00462F7F" w14:paraId="573B3D78" w14:textId="77777777">
        <w:trPr>
          <w:trHeight w:val="190"/>
          <w:jc w:val="center"/>
        </w:trPr>
        <w:tc>
          <w:tcPr>
            <w:tcW w:w="7230" w:type="dxa"/>
            <w:gridSpan w:val="4"/>
            <w:shd w:val="clear" w:color="auto" w:fill="91ABDF" w:themeFill="accent1" w:themeFillTint="99"/>
            <w:vAlign w:val="center"/>
          </w:tcPr>
          <w:p w14:paraId="042B7CF5"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销售服务费：</w:t>
            </w:r>
            <w:r>
              <w:rPr>
                <w:rFonts w:ascii="宋体" w:eastAsia="宋体" w:hAnsi="宋体" w:cs="宋体" w:hint="eastAsia"/>
                <w:sz w:val="18"/>
                <w:szCs w:val="20"/>
              </w:rPr>
              <w:t>A</w:t>
            </w:r>
            <w:r>
              <w:rPr>
                <w:rFonts w:ascii="宋体" w:eastAsia="宋体" w:hAnsi="宋体" w:cs="宋体" w:hint="eastAsia"/>
                <w:sz w:val="18"/>
                <w:szCs w:val="20"/>
              </w:rPr>
              <w:t>类不收取；</w:t>
            </w:r>
            <w:r>
              <w:rPr>
                <w:rFonts w:ascii="宋体" w:eastAsia="宋体" w:hAnsi="宋体" w:cs="宋体" w:hint="eastAsia"/>
                <w:sz w:val="18"/>
                <w:szCs w:val="20"/>
              </w:rPr>
              <w:t>C</w:t>
            </w:r>
            <w:r>
              <w:rPr>
                <w:rFonts w:ascii="宋体" w:eastAsia="宋体" w:hAnsi="宋体" w:cs="宋体" w:hint="eastAsia"/>
                <w:sz w:val="18"/>
                <w:szCs w:val="20"/>
              </w:rPr>
              <w:t>类</w:t>
            </w:r>
            <w:r>
              <w:rPr>
                <w:rFonts w:ascii="宋体" w:eastAsia="宋体" w:hAnsi="宋体" w:cs="宋体" w:hint="eastAsia"/>
                <w:sz w:val="18"/>
                <w:szCs w:val="20"/>
              </w:rPr>
              <w:t>0.20%</w:t>
            </w:r>
            <w:r>
              <w:rPr>
                <w:rFonts w:ascii="宋体" w:eastAsia="宋体" w:hAnsi="宋体" w:cs="宋体" w:hint="eastAsia"/>
                <w:sz w:val="18"/>
                <w:szCs w:val="20"/>
              </w:rPr>
              <w:t>，持有一年以上不再继续收取。</w:t>
            </w:r>
          </w:p>
          <w:p w14:paraId="4443E520" w14:textId="77777777" w:rsidR="00462F7F" w:rsidRDefault="00770C01">
            <w:pPr>
              <w:jc w:val="center"/>
              <w:rPr>
                <w:rFonts w:ascii="宋体" w:eastAsia="宋体" w:hAnsi="宋体" w:cs="宋体"/>
                <w:sz w:val="18"/>
                <w:szCs w:val="20"/>
              </w:rPr>
            </w:pPr>
            <w:r>
              <w:rPr>
                <w:rFonts w:ascii="宋体" w:eastAsia="宋体" w:hAnsi="宋体" w:cs="宋体" w:hint="eastAsia"/>
                <w:sz w:val="18"/>
                <w:szCs w:val="20"/>
              </w:rPr>
              <w:t>管理费：</w:t>
            </w:r>
            <w:r>
              <w:rPr>
                <w:rFonts w:ascii="宋体" w:eastAsia="宋体" w:hAnsi="宋体" w:cs="宋体" w:hint="eastAsia"/>
                <w:sz w:val="18"/>
                <w:szCs w:val="20"/>
              </w:rPr>
              <w:t>0.80%/</w:t>
            </w:r>
            <w:r>
              <w:rPr>
                <w:rFonts w:ascii="宋体" w:eastAsia="宋体" w:hAnsi="宋体" w:cs="宋体" w:hint="eastAsia"/>
                <w:sz w:val="18"/>
                <w:szCs w:val="20"/>
              </w:rPr>
              <w:t>年。托管费：</w:t>
            </w:r>
            <w:r>
              <w:rPr>
                <w:rFonts w:ascii="宋体" w:eastAsia="宋体" w:hAnsi="宋体" w:cs="宋体" w:hint="eastAsia"/>
                <w:sz w:val="18"/>
                <w:szCs w:val="20"/>
              </w:rPr>
              <w:t>0.15%/</w:t>
            </w:r>
            <w:r>
              <w:rPr>
                <w:rFonts w:ascii="宋体" w:eastAsia="宋体" w:hAnsi="宋体" w:cs="宋体" w:hint="eastAsia"/>
                <w:sz w:val="18"/>
                <w:szCs w:val="20"/>
              </w:rPr>
              <w:t>年</w:t>
            </w:r>
          </w:p>
        </w:tc>
      </w:tr>
    </w:tbl>
    <w:p w14:paraId="7BC02354" w14:textId="77777777" w:rsidR="00462F7F" w:rsidRDefault="00770C01">
      <w:pPr>
        <w:rPr>
          <w:rFonts w:ascii="宋体" w:eastAsia="宋体" w:hAnsi="宋体" w:cs="宋体"/>
          <w:sz w:val="20"/>
          <w:szCs w:val="20"/>
        </w:rPr>
      </w:pPr>
      <w:r>
        <w:rPr>
          <w:rFonts w:ascii="宋体" w:eastAsia="宋体" w:hAnsi="宋体" w:cs="宋体" w:hint="eastAsia"/>
          <w:sz w:val="20"/>
          <w:szCs w:val="20"/>
        </w:rPr>
        <w:t>以上费率详见招募说明书等法律文件，实际费用以销售机构业务规则为准。</w:t>
      </w:r>
    </w:p>
    <w:p w14:paraId="6D77BFA2" w14:textId="77777777" w:rsidR="00462F7F" w:rsidRDefault="00462F7F">
      <w:pPr>
        <w:rPr>
          <w:rFonts w:ascii="宋体" w:eastAsia="宋体" w:hAnsi="宋体" w:cs="宋体"/>
          <w:sz w:val="20"/>
          <w:szCs w:val="20"/>
        </w:rPr>
      </w:pPr>
    </w:p>
    <w:p w14:paraId="397975B0" w14:textId="77777777" w:rsidR="00462F7F" w:rsidRDefault="00462F7F">
      <w:pPr>
        <w:rPr>
          <w:rFonts w:ascii="宋体" w:eastAsia="宋体" w:hAnsi="宋体" w:cs="宋体"/>
          <w:color w:val="000000" w:themeColor="text1"/>
          <w:kern w:val="24"/>
          <w:sz w:val="20"/>
          <w:szCs w:val="20"/>
        </w:rPr>
      </w:pPr>
    </w:p>
    <w:sectPr w:rsidR="00462F7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DejaVu Sans"/>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F7F"/>
    <w:rsid w:val="00462F7F"/>
    <w:rsid w:val="00770C01"/>
    <w:rsid w:val="16014357"/>
    <w:rsid w:val="1A0D57CA"/>
    <w:rsid w:val="1FA85442"/>
    <w:rsid w:val="3C8E5F1F"/>
    <w:rsid w:val="45447D8A"/>
    <w:rsid w:val="5CCE05D4"/>
    <w:rsid w:val="63D17986"/>
    <w:rsid w:val="65620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EA5DFA-4821-4BE5-AE59-7A1C7DA1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Normal (Web)"/>
    <w:basedOn w:val="a"/>
    <w:qFormat/>
    <w:pPr>
      <w:spacing w:beforeAutospacing="1" w:afterAutospacing="1"/>
      <w:jc w:val="left"/>
    </w:pPr>
    <w:rPr>
      <w:rFonts w:cs="Times New Roman"/>
      <w:kern w:val="0"/>
      <w:sz w:val="24"/>
    </w:rPr>
  </w:style>
  <w:style w:type="character" w:styleId="a5">
    <w:name w:val="annotation reference"/>
    <w:basedOn w:val="a0"/>
    <w:rPr>
      <w:sz w:val="21"/>
      <w:szCs w:val="21"/>
    </w:rPr>
  </w:style>
  <w:style w:type="paragraph" w:styleId="a6">
    <w:name w:val="Balloon Text"/>
    <w:basedOn w:val="a"/>
    <w:link w:val="a7"/>
    <w:rsid w:val="00770C01"/>
    <w:rPr>
      <w:sz w:val="18"/>
      <w:szCs w:val="18"/>
    </w:rPr>
  </w:style>
  <w:style w:type="character" w:customStyle="1" w:styleId="a7">
    <w:name w:val="批注框文本 字符"/>
    <w:basedOn w:val="a0"/>
    <w:link w:val="a6"/>
    <w:rsid w:val="00770C0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kaiy</dc:creator>
  <cp:lastModifiedBy>李欣睿</cp:lastModifiedBy>
  <cp:revision>2</cp:revision>
  <dcterms:created xsi:type="dcterms:W3CDTF">2026-10-28T09:42:00Z</dcterms:created>
  <dcterms:modified xsi:type="dcterms:W3CDTF">2026-10-29T05:09:00Z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eyJoZGlkIjoiODE0ZmI0ODhjODk5ODRjODYzMGVjMTU5MjA1ZWFlNDAiLCJ1c2VySWQiOiI5NDQwMjE3NzUifQ==</vt:lpwstr>
  </property>
  <property fmtid="{D5CDD505-2E9C-101B-9397-08002B2CF9AE}" pid="4" name="ICV">
    <vt:lpwstr>93DA25F9C5AB4B8EBF8FC682CA2FC489_13</vt:lpwstr>
  </property>
</Properties>
</file>